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B36D71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06908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B36D7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36D7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36D7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36D7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36D7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36D7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36D7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36D7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36D7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36D7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36D71">
      <w:pPr>
        <w:spacing w:line="392" w:lineRule="exact"/>
        <w:rPr>
          <w:rFonts w:ascii="Times New Roman" w:eastAsia="Times New Roman" w:hAnsi="Times New Roman"/>
          <w:sz w:val="24"/>
        </w:rPr>
      </w:pPr>
    </w:p>
    <w:p w:rsidR="00000000" w:rsidRDefault="00B36D71">
      <w:pPr>
        <w:spacing w:line="0" w:lineRule="atLeast"/>
        <w:ind w:left="2880"/>
        <w:rPr>
          <w:b/>
          <w:i/>
          <w:sz w:val="28"/>
        </w:rPr>
      </w:pPr>
      <w:r>
        <w:rPr>
          <w:b/>
          <w:i/>
          <w:sz w:val="28"/>
        </w:rPr>
        <w:t>Payment of Wages</w:t>
      </w:r>
    </w:p>
    <w:p w:rsidR="00000000" w:rsidRDefault="00B36D7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36D7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36D71">
      <w:pPr>
        <w:spacing w:line="232" w:lineRule="exact"/>
        <w:rPr>
          <w:rFonts w:ascii="Times New Roman" w:eastAsia="Times New Roman" w:hAnsi="Times New Roman"/>
          <w:sz w:val="24"/>
        </w:rPr>
      </w:pPr>
    </w:p>
    <w:p w:rsidR="00000000" w:rsidRDefault="00B36D71">
      <w:pPr>
        <w:spacing w:line="0" w:lineRule="atLeast"/>
        <w:rPr>
          <w:b/>
          <w:i/>
          <w:sz w:val="22"/>
        </w:rPr>
      </w:pPr>
      <w:r>
        <w:rPr>
          <w:b/>
          <w:i/>
          <w:sz w:val="22"/>
        </w:rPr>
        <w:t>Overview</w:t>
      </w:r>
    </w:p>
    <w:p w:rsidR="00000000" w:rsidRDefault="00B36D71">
      <w:pPr>
        <w:spacing w:line="0" w:lineRule="atLeast"/>
        <w:rPr>
          <w:sz w:val="22"/>
        </w:rPr>
      </w:pPr>
      <w:r>
        <w:rPr>
          <w:sz w:val="22"/>
        </w:rPr>
        <w:t>This document outlines the Associations</w:t>
      </w:r>
      <w:r>
        <w:rPr>
          <w:sz w:val="22"/>
        </w:rPr>
        <w:t>’ policy on the payment of wages.</w:t>
      </w:r>
    </w:p>
    <w:p w:rsidR="00000000" w:rsidRDefault="00B36D71">
      <w:pPr>
        <w:spacing w:line="270" w:lineRule="exact"/>
        <w:rPr>
          <w:rFonts w:ascii="Times New Roman" w:eastAsia="Times New Roman" w:hAnsi="Times New Roman"/>
          <w:sz w:val="24"/>
        </w:rPr>
      </w:pPr>
    </w:p>
    <w:p w:rsidR="00000000" w:rsidRDefault="00B36D71">
      <w:pPr>
        <w:spacing w:line="0" w:lineRule="atLeast"/>
        <w:rPr>
          <w:b/>
          <w:i/>
          <w:sz w:val="22"/>
        </w:rPr>
      </w:pPr>
      <w:r>
        <w:rPr>
          <w:b/>
          <w:i/>
          <w:sz w:val="22"/>
        </w:rPr>
        <w:t>Scope</w:t>
      </w:r>
    </w:p>
    <w:p w:rsidR="00000000" w:rsidRDefault="00B36D71">
      <w:pPr>
        <w:spacing w:line="0" w:lineRule="atLeast"/>
        <w:rPr>
          <w:sz w:val="22"/>
        </w:rPr>
      </w:pPr>
      <w:r>
        <w:rPr>
          <w:sz w:val="22"/>
        </w:rPr>
        <w:t>This Policy applies across all student Associations.</w:t>
      </w:r>
    </w:p>
    <w:p w:rsidR="00000000" w:rsidRDefault="00B36D71">
      <w:pPr>
        <w:spacing w:line="0" w:lineRule="atLeast"/>
        <w:rPr>
          <w:sz w:val="22"/>
        </w:rPr>
      </w:pPr>
      <w:r>
        <w:rPr>
          <w:b/>
          <w:sz w:val="22"/>
        </w:rPr>
        <w:t>“Associations</w:t>
      </w:r>
      <w:r>
        <w:rPr>
          <w:b/>
          <w:sz w:val="22"/>
        </w:rPr>
        <w:t>” refers</w:t>
      </w:r>
      <w:r>
        <w:rPr>
          <w:sz w:val="22"/>
        </w:rPr>
        <w:t xml:space="preserve"> </w:t>
      </w:r>
      <w:r>
        <w:rPr>
          <w:sz w:val="22"/>
        </w:rPr>
        <w:t xml:space="preserve">to ANUSA, PARSA &amp; </w:t>
      </w:r>
      <w:proofErr w:type="spellStart"/>
      <w:r>
        <w:rPr>
          <w:sz w:val="22"/>
        </w:rPr>
        <w:t>Woroni</w:t>
      </w:r>
      <w:proofErr w:type="spellEnd"/>
      <w:r>
        <w:rPr>
          <w:sz w:val="22"/>
        </w:rPr>
        <w:t>.</w:t>
      </w:r>
    </w:p>
    <w:p w:rsidR="00000000" w:rsidRDefault="00B36D71">
      <w:pPr>
        <w:spacing w:line="269" w:lineRule="exact"/>
        <w:rPr>
          <w:rFonts w:ascii="Times New Roman" w:eastAsia="Times New Roman" w:hAnsi="Times New Roman"/>
          <w:sz w:val="24"/>
        </w:rPr>
      </w:pPr>
    </w:p>
    <w:p w:rsidR="00000000" w:rsidRDefault="00B36D71">
      <w:pPr>
        <w:spacing w:line="0" w:lineRule="atLeast"/>
        <w:rPr>
          <w:b/>
          <w:i/>
          <w:sz w:val="22"/>
        </w:rPr>
      </w:pPr>
      <w:r>
        <w:rPr>
          <w:b/>
          <w:i/>
          <w:sz w:val="22"/>
        </w:rPr>
        <w:t>Policy Statement</w:t>
      </w:r>
    </w:p>
    <w:p w:rsidR="00000000" w:rsidRDefault="00B36D71">
      <w:pPr>
        <w:spacing w:line="47" w:lineRule="exact"/>
        <w:rPr>
          <w:rFonts w:ascii="Times New Roman" w:eastAsia="Times New Roman" w:hAnsi="Times New Roman"/>
          <w:sz w:val="24"/>
        </w:rPr>
      </w:pPr>
    </w:p>
    <w:p w:rsidR="00000000" w:rsidRDefault="00B36D71">
      <w:pPr>
        <w:spacing w:line="218" w:lineRule="auto"/>
        <w:ind w:right="606"/>
        <w:rPr>
          <w:sz w:val="22"/>
        </w:rPr>
      </w:pPr>
      <w:r>
        <w:rPr>
          <w:sz w:val="22"/>
        </w:rPr>
        <w:t>Employee salar</w:t>
      </w:r>
      <w:r>
        <w:rPr>
          <w:sz w:val="22"/>
        </w:rPr>
        <w:t>ies, including allowances an</w:t>
      </w:r>
      <w:bookmarkStart w:id="1" w:name="_GoBack"/>
      <w:bookmarkEnd w:id="1"/>
      <w:r>
        <w:rPr>
          <w:sz w:val="22"/>
        </w:rPr>
        <w:t>d overtime, will be paid fortnightly on the Thursday immediately following the pay period by electronic funds transfer.</w:t>
      </w:r>
    </w:p>
    <w:p w:rsidR="00000000" w:rsidRDefault="00B36D71">
      <w:pPr>
        <w:spacing w:line="319" w:lineRule="exact"/>
        <w:rPr>
          <w:rFonts w:ascii="Times New Roman" w:eastAsia="Times New Roman" w:hAnsi="Times New Roman"/>
          <w:sz w:val="24"/>
        </w:rPr>
      </w:pPr>
    </w:p>
    <w:p w:rsidR="00000000" w:rsidRDefault="00B36D71">
      <w:pPr>
        <w:spacing w:line="229" w:lineRule="auto"/>
        <w:ind w:right="186"/>
        <w:rPr>
          <w:sz w:val="22"/>
        </w:rPr>
      </w:pPr>
      <w:r>
        <w:rPr>
          <w:sz w:val="22"/>
        </w:rPr>
        <w:t>Where an employee incurs fees or charges from their financial institution because their salary was not paid</w:t>
      </w:r>
      <w:r>
        <w:rPr>
          <w:sz w:val="22"/>
        </w:rPr>
        <w:t xml:space="preserve"> on the Thursday immediately following the pay period because of the actions or non-actions of the Association the Association will on the production of documented evidence detailing such fees and charges reimburse the fees and/or charges incurred.</w:t>
      </w:r>
    </w:p>
    <w:p w:rsidR="00000000" w:rsidRDefault="00B36D71">
      <w:pPr>
        <w:spacing w:line="270" w:lineRule="exact"/>
        <w:rPr>
          <w:rFonts w:ascii="Times New Roman" w:eastAsia="Times New Roman" w:hAnsi="Times New Roman"/>
          <w:sz w:val="24"/>
        </w:rPr>
      </w:pPr>
    </w:p>
    <w:p w:rsidR="00000000" w:rsidRDefault="00B36D71">
      <w:pPr>
        <w:spacing w:line="0" w:lineRule="atLeast"/>
        <w:rPr>
          <w:rFonts w:ascii="Calibri Light" w:eastAsia="Calibri Light" w:hAnsi="Calibri Light"/>
          <w:b/>
          <w:i/>
          <w:sz w:val="22"/>
        </w:rPr>
      </w:pPr>
      <w:r>
        <w:rPr>
          <w:rFonts w:ascii="Calibri Light" w:eastAsia="Calibri Light" w:hAnsi="Calibri Light"/>
          <w:b/>
          <w:i/>
          <w:sz w:val="22"/>
        </w:rPr>
        <w:t>Salary</w:t>
      </w:r>
      <w:r>
        <w:rPr>
          <w:rFonts w:ascii="Calibri Light" w:eastAsia="Calibri Light" w:hAnsi="Calibri Light"/>
          <w:b/>
          <w:i/>
          <w:sz w:val="22"/>
        </w:rPr>
        <w:t xml:space="preserve"> Packaging</w:t>
      </w:r>
    </w:p>
    <w:p w:rsidR="00000000" w:rsidRDefault="00B36D71">
      <w:pPr>
        <w:spacing w:line="49" w:lineRule="exact"/>
        <w:rPr>
          <w:rFonts w:ascii="Times New Roman" w:eastAsia="Times New Roman" w:hAnsi="Times New Roman"/>
          <w:sz w:val="24"/>
        </w:rPr>
      </w:pPr>
    </w:p>
    <w:p w:rsidR="00000000" w:rsidRDefault="00B36D71">
      <w:pPr>
        <w:spacing w:line="224" w:lineRule="auto"/>
        <w:ind w:right="46"/>
        <w:rPr>
          <w:sz w:val="22"/>
        </w:rPr>
      </w:pPr>
      <w:r>
        <w:rPr>
          <w:sz w:val="22"/>
        </w:rPr>
        <w:t>Employees will be able to participate in the Association</w:t>
      </w:r>
      <w:r>
        <w:rPr>
          <w:sz w:val="22"/>
        </w:rPr>
        <w:t>’s salary packaging arrangements. Information on the Association</w:t>
      </w:r>
      <w:r>
        <w:rPr>
          <w:sz w:val="22"/>
        </w:rPr>
        <w:t>’s salary packaging arrangements can be obtained from the ANUSA or PARSA Finance Officers.</w:t>
      </w:r>
    </w:p>
    <w:p w:rsidR="00000000" w:rsidRDefault="00B36D71">
      <w:pPr>
        <w:spacing w:line="272" w:lineRule="exact"/>
        <w:rPr>
          <w:rFonts w:ascii="Times New Roman" w:eastAsia="Times New Roman" w:hAnsi="Times New Roman"/>
          <w:sz w:val="24"/>
        </w:rPr>
      </w:pPr>
    </w:p>
    <w:p w:rsidR="00000000" w:rsidRDefault="00B36D71">
      <w:pPr>
        <w:spacing w:line="0" w:lineRule="atLeast"/>
        <w:rPr>
          <w:sz w:val="22"/>
        </w:rPr>
      </w:pPr>
      <w:r>
        <w:rPr>
          <w:sz w:val="22"/>
        </w:rPr>
        <w:t>References: Enterprise Agreement</w:t>
      </w:r>
      <w:r>
        <w:rPr>
          <w:sz w:val="22"/>
        </w:rPr>
        <w:t xml:space="preserve"> Clause 12.3 &amp; 17.2</w:t>
      </w:r>
    </w:p>
    <w:p w:rsidR="00000000" w:rsidRDefault="00B36D71">
      <w:pPr>
        <w:spacing w:line="269" w:lineRule="exact"/>
        <w:rPr>
          <w:rFonts w:ascii="Times New Roman" w:eastAsia="Times New Roman" w:hAnsi="Times New Roman"/>
          <w:sz w:val="24"/>
        </w:rPr>
      </w:pPr>
    </w:p>
    <w:p w:rsidR="00000000" w:rsidRDefault="00B36D71">
      <w:pPr>
        <w:spacing w:line="0" w:lineRule="atLeast"/>
        <w:rPr>
          <w:b/>
          <w:i/>
          <w:sz w:val="22"/>
        </w:rPr>
      </w:pPr>
      <w:r>
        <w:rPr>
          <w:b/>
          <w:i/>
          <w:sz w:val="22"/>
        </w:rPr>
        <w:t>Other</w:t>
      </w:r>
    </w:p>
    <w:p w:rsidR="00000000" w:rsidRDefault="00B36D71">
      <w:pPr>
        <w:spacing w:line="52" w:lineRule="exact"/>
        <w:rPr>
          <w:rFonts w:ascii="Times New Roman" w:eastAsia="Times New Roman" w:hAnsi="Times New Roman"/>
          <w:sz w:val="24"/>
        </w:rPr>
      </w:pPr>
    </w:p>
    <w:p w:rsidR="00000000" w:rsidRDefault="00B36D71">
      <w:pPr>
        <w:spacing w:line="225" w:lineRule="auto"/>
        <w:ind w:right="6"/>
        <w:rPr>
          <w:sz w:val="22"/>
        </w:rPr>
      </w:pPr>
      <w:r>
        <w:rPr>
          <w:sz w:val="22"/>
        </w:rPr>
        <w:t>In the case of any inconsistency between this policy and the Enterprise Agreement, the Enterprise Agreement shall prevail.</w:t>
      </w:r>
    </w:p>
    <w:p w:rsidR="00B36D71" w:rsidRDefault="00B36D71">
      <w:pPr>
        <w:spacing w:line="225" w:lineRule="auto"/>
        <w:ind w:right="6"/>
        <w:rPr>
          <w:sz w:val="22"/>
        </w:rPr>
      </w:pPr>
    </w:p>
    <w:p w:rsidR="00B36D71" w:rsidRDefault="00B36D71" w:rsidP="00B36D71">
      <w:pPr>
        <w:spacing w:line="228" w:lineRule="auto"/>
        <w:ind w:right="126"/>
        <w:rPr>
          <w:sz w:val="22"/>
        </w:rPr>
      </w:pPr>
      <w:r>
        <w:rPr>
          <w:sz w:val="22"/>
        </w:rPr>
        <w:t xml:space="preserve">Review date: on or before 12/2024 </w:t>
      </w:r>
    </w:p>
    <w:p w:rsidR="00B36D71" w:rsidRDefault="00B36D71">
      <w:pPr>
        <w:spacing w:line="225" w:lineRule="auto"/>
        <w:ind w:right="6"/>
        <w:rPr>
          <w:sz w:val="22"/>
        </w:rPr>
      </w:pPr>
    </w:p>
    <w:sectPr w:rsidR="00B36D71">
      <w:pgSz w:w="11900" w:h="16838"/>
      <w:pgMar w:top="1440" w:right="1440" w:bottom="1440" w:left="1440" w:header="0" w:footer="0" w:gutter="0"/>
      <w:cols w:space="0" w:equalWidth="0">
        <w:col w:w="902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71"/>
    <w:rsid w:val="00B3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B3352F5"/>
  <w15:chartTrackingRefBased/>
  <w15:docId w15:val="{56670333-671A-4814-A936-45FFDB47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 Yan Low</dc:creator>
  <cp:keywords/>
  <cp:lastModifiedBy>Bi Yan Low</cp:lastModifiedBy>
  <cp:revision>2</cp:revision>
  <dcterms:created xsi:type="dcterms:W3CDTF">2023-09-13T02:30:00Z</dcterms:created>
  <dcterms:modified xsi:type="dcterms:W3CDTF">2023-09-13T02:30:00Z</dcterms:modified>
</cp:coreProperties>
</file>