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E51C7">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9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0" w:lineRule="exact"/>
        <w:rPr>
          <w:rFonts w:ascii="Times New Roman" w:eastAsia="Times New Roman" w:hAnsi="Times New Roman"/>
          <w:sz w:val="24"/>
        </w:rPr>
      </w:pPr>
    </w:p>
    <w:p w:rsidR="00000000" w:rsidRDefault="002E51C7">
      <w:pPr>
        <w:spacing w:line="206" w:lineRule="exact"/>
        <w:rPr>
          <w:rFonts w:ascii="Times New Roman" w:eastAsia="Times New Roman" w:hAnsi="Times New Roman"/>
          <w:sz w:val="24"/>
        </w:rPr>
      </w:pPr>
    </w:p>
    <w:p w:rsidR="00000000" w:rsidRDefault="002E51C7">
      <w:pPr>
        <w:spacing w:line="0" w:lineRule="atLeast"/>
        <w:ind w:left="2220"/>
        <w:rPr>
          <w:b/>
          <w:sz w:val="28"/>
        </w:rPr>
      </w:pPr>
      <w:r>
        <w:rPr>
          <w:b/>
          <w:sz w:val="28"/>
        </w:rPr>
        <w:t>Incremental salary progression</w:t>
      </w:r>
    </w:p>
    <w:p w:rsidR="00000000" w:rsidRDefault="002E51C7">
      <w:pPr>
        <w:spacing w:line="267" w:lineRule="exact"/>
        <w:rPr>
          <w:rFonts w:ascii="Times New Roman" w:eastAsia="Times New Roman" w:hAnsi="Times New Roman"/>
          <w:sz w:val="24"/>
        </w:rPr>
      </w:pPr>
    </w:p>
    <w:p w:rsidR="00000000" w:rsidRDefault="002E51C7">
      <w:pPr>
        <w:spacing w:line="0" w:lineRule="atLeast"/>
        <w:rPr>
          <w:b/>
          <w:i/>
          <w:sz w:val="22"/>
        </w:rPr>
      </w:pPr>
      <w:r>
        <w:rPr>
          <w:b/>
          <w:i/>
          <w:sz w:val="22"/>
        </w:rPr>
        <w:t>Overview</w:t>
      </w:r>
    </w:p>
    <w:p w:rsidR="00000000" w:rsidRDefault="002E51C7">
      <w:pPr>
        <w:spacing w:line="47" w:lineRule="exact"/>
        <w:rPr>
          <w:rFonts w:ascii="Times New Roman" w:eastAsia="Times New Roman" w:hAnsi="Times New Roman"/>
          <w:sz w:val="24"/>
        </w:rPr>
      </w:pPr>
    </w:p>
    <w:p w:rsidR="00000000" w:rsidRDefault="002E51C7">
      <w:pPr>
        <w:spacing w:line="218" w:lineRule="auto"/>
        <w:ind w:right="366"/>
        <w:rPr>
          <w:sz w:val="22"/>
        </w:rPr>
      </w:pPr>
      <w:r>
        <w:rPr>
          <w:sz w:val="22"/>
        </w:rPr>
        <w:t>This document outlines the processes to be followed where an employee is paid an annual salary increment.</w:t>
      </w:r>
    </w:p>
    <w:p w:rsidR="00000000" w:rsidRDefault="002E51C7">
      <w:pPr>
        <w:spacing w:line="270" w:lineRule="exact"/>
        <w:rPr>
          <w:rFonts w:ascii="Times New Roman" w:eastAsia="Times New Roman" w:hAnsi="Times New Roman"/>
          <w:sz w:val="24"/>
        </w:rPr>
      </w:pPr>
    </w:p>
    <w:p w:rsidR="00000000" w:rsidRDefault="002E51C7">
      <w:pPr>
        <w:spacing w:line="0" w:lineRule="atLeast"/>
        <w:rPr>
          <w:b/>
          <w:i/>
          <w:sz w:val="22"/>
        </w:rPr>
      </w:pPr>
      <w:r>
        <w:rPr>
          <w:b/>
          <w:i/>
          <w:sz w:val="22"/>
        </w:rPr>
        <w:t>Scope</w:t>
      </w:r>
    </w:p>
    <w:p w:rsidR="00000000" w:rsidRDefault="002E51C7">
      <w:pPr>
        <w:spacing w:line="0" w:lineRule="atLeast"/>
        <w:rPr>
          <w:sz w:val="22"/>
        </w:rPr>
      </w:pPr>
      <w:r>
        <w:rPr>
          <w:sz w:val="22"/>
        </w:rPr>
        <w:t>This Policy applies across all student Associations.</w:t>
      </w:r>
    </w:p>
    <w:p w:rsidR="00000000" w:rsidRDefault="002E51C7">
      <w:pPr>
        <w:spacing w:line="1" w:lineRule="exact"/>
        <w:rPr>
          <w:rFonts w:ascii="Times New Roman" w:eastAsia="Times New Roman" w:hAnsi="Times New Roman"/>
          <w:sz w:val="24"/>
        </w:rPr>
      </w:pPr>
    </w:p>
    <w:p w:rsidR="00000000" w:rsidRDefault="002E51C7">
      <w:pPr>
        <w:spacing w:line="0" w:lineRule="atLeast"/>
        <w:rPr>
          <w:sz w:val="22"/>
        </w:rPr>
      </w:pPr>
      <w:r>
        <w:rPr>
          <w:b/>
          <w:sz w:val="22"/>
        </w:rPr>
        <w:t>“Associations</w:t>
      </w:r>
      <w:r>
        <w:rPr>
          <w:b/>
          <w:sz w:val="22"/>
        </w:rPr>
        <w:t>” refers</w:t>
      </w:r>
      <w:r>
        <w:rPr>
          <w:sz w:val="22"/>
        </w:rPr>
        <w:t xml:space="preserve"> </w:t>
      </w:r>
      <w:r>
        <w:rPr>
          <w:sz w:val="22"/>
        </w:rPr>
        <w:t>to ANUSA, PARS</w:t>
      </w:r>
      <w:r>
        <w:rPr>
          <w:sz w:val="22"/>
        </w:rPr>
        <w:t>A &amp; ANUSM.</w:t>
      </w:r>
    </w:p>
    <w:p w:rsidR="00000000" w:rsidRDefault="002E51C7">
      <w:pPr>
        <w:spacing w:line="269" w:lineRule="exact"/>
        <w:rPr>
          <w:rFonts w:ascii="Times New Roman" w:eastAsia="Times New Roman" w:hAnsi="Times New Roman"/>
          <w:sz w:val="24"/>
        </w:rPr>
      </w:pPr>
    </w:p>
    <w:p w:rsidR="00000000" w:rsidRDefault="002E51C7">
      <w:pPr>
        <w:spacing w:line="0" w:lineRule="atLeast"/>
        <w:rPr>
          <w:b/>
          <w:i/>
          <w:sz w:val="22"/>
        </w:rPr>
      </w:pPr>
      <w:r>
        <w:rPr>
          <w:b/>
          <w:i/>
          <w:sz w:val="22"/>
        </w:rPr>
        <w:t>Policy Statement</w:t>
      </w:r>
    </w:p>
    <w:p w:rsidR="00000000" w:rsidRDefault="002E51C7">
      <w:pPr>
        <w:spacing w:line="49" w:lineRule="exact"/>
        <w:rPr>
          <w:rFonts w:ascii="Times New Roman" w:eastAsia="Times New Roman" w:hAnsi="Times New Roman"/>
          <w:sz w:val="24"/>
        </w:rPr>
      </w:pPr>
    </w:p>
    <w:p w:rsidR="00000000" w:rsidRDefault="002E51C7">
      <w:pPr>
        <w:spacing w:line="218" w:lineRule="auto"/>
        <w:ind w:right="206"/>
        <w:rPr>
          <w:sz w:val="22"/>
        </w:rPr>
      </w:pPr>
      <w:r>
        <w:rPr>
          <w:sz w:val="22"/>
        </w:rPr>
        <w:t>An employee may be eligible to be paid at the next salary step dependant on the rating received in the Career and Performance Development Process.</w:t>
      </w:r>
    </w:p>
    <w:p w:rsidR="00000000" w:rsidRDefault="002E51C7">
      <w:pPr>
        <w:spacing w:line="47" w:lineRule="exact"/>
        <w:rPr>
          <w:rFonts w:ascii="Times New Roman" w:eastAsia="Times New Roman" w:hAnsi="Times New Roman"/>
          <w:sz w:val="24"/>
        </w:rPr>
      </w:pPr>
    </w:p>
    <w:p w:rsidR="00000000" w:rsidRDefault="002E51C7">
      <w:pPr>
        <w:spacing w:line="218" w:lineRule="auto"/>
        <w:ind w:right="6"/>
        <w:rPr>
          <w:sz w:val="22"/>
        </w:rPr>
      </w:pPr>
      <w:r>
        <w:rPr>
          <w:sz w:val="22"/>
        </w:rPr>
        <w:t>This policy should be read in conjunction with the Associations Career and Pro</w:t>
      </w:r>
      <w:r>
        <w:rPr>
          <w:sz w:val="22"/>
        </w:rPr>
        <w:t>fessional Development Policy.</w:t>
      </w:r>
    </w:p>
    <w:p w:rsidR="00000000" w:rsidRDefault="002E51C7">
      <w:pPr>
        <w:spacing w:line="270" w:lineRule="exact"/>
        <w:rPr>
          <w:rFonts w:ascii="Times New Roman" w:eastAsia="Times New Roman" w:hAnsi="Times New Roman"/>
          <w:sz w:val="24"/>
        </w:rPr>
      </w:pPr>
    </w:p>
    <w:p w:rsidR="00000000" w:rsidRDefault="002E51C7">
      <w:pPr>
        <w:spacing w:line="0" w:lineRule="atLeast"/>
        <w:rPr>
          <w:b/>
          <w:sz w:val="22"/>
        </w:rPr>
      </w:pPr>
      <w:r>
        <w:rPr>
          <w:b/>
          <w:sz w:val="22"/>
        </w:rPr>
        <w:t>Incremental progression</w:t>
      </w:r>
    </w:p>
    <w:p w:rsidR="00000000" w:rsidRDefault="002E51C7">
      <w:pPr>
        <w:spacing w:line="0" w:lineRule="atLeast"/>
        <w:rPr>
          <w:sz w:val="22"/>
        </w:rPr>
      </w:pPr>
      <w:r>
        <w:rPr>
          <w:sz w:val="22"/>
        </w:rPr>
        <w:t>Incremental progression through the salary structure within a classification is dependent upon:</w:t>
      </w:r>
    </w:p>
    <w:p w:rsidR="00000000" w:rsidRDefault="002E51C7">
      <w:pPr>
        <w:numPr>
          <w:ilvl w:val="0"/>
          <w:numId w:val="1"/>
        </w:numPr>
        <w:tabs>
          <w:tab w:val="left" w:pos="880"/>
        </w:tabs>
        <w:spacing w:line="0" w:lineRule="atLeast"/>
        <w:ind w:left="880" w:hanging="160"/>
        <w:rPr>
          <w:sz w:val="22"/>
        </w:rPr>
      </w:pPr>
      <w:r>
        <w:rPr>
          <w:sz w:val="22"/>
        </w:rPr>
        <w:t>the employee</w:t>
      </w:r>
      <w:r>
        <w:rPr>
          <w:sz w:val="22"/>
        </w:rPr>
        <w:t>’s acquisition of new skills, experience, knowledge; and</w:t>
      </w:r>
    </w:p>
    <w:p w:rsidR="00000000" w:rsidRDefault="002E51C7">
      <w:pPr>
        <w:numPr>
          <w:ilvl w:val="0"/>
          <w:numId w:val="1"/>
        </w:numPr>
        <w:tabs>
          <w:tab w:val="left" w:pos="880"/>
        </w:tabs>
        <w:spacing w:line="0" w:lineRule="atLeast"/>
        <w:ind w:left="880" w:hanging="160"/>
        <w:rPr>
          <w:sz w:val="22"/>
        </w:rPr>
      </w:pPr>
      <w:r>
        <w:rPr>
          <w:sz w:val="22"/>
        </w:rPr>
        <w:t xml:space="preserve">satisfactory performance (Meets all </w:t>
      </w:r>
      <w:r>
        <w:rPr>
          <w:sz w:val="22"/>
        </w:rPr>
        <w:t>expectations) against an agreed Statement of</w:t>
      </w:r>
    </w:p>
    <w:p w:rsidR="00000000" w:rsidRDefault="002E51C7">
      <w:pPr>
        <w:spacing w:line="0" w:lineRule="atLeast"/>
        <w:ind w:left="720"/>
        <w:rPr>
          <w:sz w:val="22"/>
        </w:rPr>
      </w:pPr>
      <w:r>
        <w:rPr>
          <w:sz w:val="22"/>
        </w:rPr>
        <w:t>Expectations.</w:t>
      </w:r>
    </w:p>
    <w:p w:rsidR="00000000" w:rsidRDefault="002E51C7">
      <w:pPr>
        <w:spacing w:line="318" w:lineRule="exact"/>
        <w:rPr>
          <w:rFonts w:ascii="Times New Roman" w:eastAsia="Times New Roman" w:hAnsi="Times New Roman"/>
          <w:sz w:val="24"/>
        </w:rPr>
      </w:pPr>
    </w:p>
    <w:p w:rsidR="00000000" w:rsidRDefault="002E51C7">
      <w:pPr>
        <w:spacing w:line="224" w:lineRule="auto"/>
        <w:ind w:right="46"/>
        <w:rPr>
          <w:sz w:val="22"/>
        </w:rPr>
      </w:pPr>
      <w:r>
        <w:rPr>
          <w:sz w:val="22"/>
        </w:rPr>
        <w:t>Where it is likely that an increment may be withheld the employee shall be advised in writing three months prior to the increment date. Such advice shall include the action requited by the employe</w:t>
      </w:r>
      <w:r>
        <w:rPr>
          <w:sz w:val="22"/>
        </w:rPr>
        <w:t>e if they are to be eligible for incremental advancement</w:t>
      </w:r>
    </w:p>
    <w:p w:rsidR="00000000" w:rsidRDefault="002E51C7">
      <w:pPr>
        <w:spacing w:line="321" w:lineRule="exact"/>
        <w:rPr>
          <w:rFonts w:ascii="Times New Roman" w:eastAsia="Times New Roman" w:hAnsi="Times New Roman"/>
          <w:sz w:val="24"/>
        </w:rPr>
      </w:pPr>
    </w:p>
    <w:p w:rsidR="00000000" w:rsidRDefault="002E51C7">
      <w:pPr>
        <w:spacing w:line="225" w:lineRule="auto"/>
        <w:ind w:right="246"/>
        <w:rPr>
          <w:sz w:val="22"/>
        </w:rPr>
      </w:pPr>
      <w:r>
        <w:rPr>
          <w:sz w:val="22"/>
        </w:rPr>
        <w:t>Incremental progression will occur unless the employee is subject to Underperformance or Misconduct processes or where the employee is rated as not meeting expectations at their annual performance r</w:t>
      </w:r>
      <w:r>
        <w:rPr>
          <w:sz w:val="22"/>
        </w:rPr>
        <w:t>eview.</w:t>
      </w:r>
    </w:p>
    <w:p w:rsidR="00000000" w:rsidRDefault="002E51C7">
      <w:pPr>
        <w:spacing w:line="320" w:lineRule="exact"/>
        <w:rPr>
          <w:rFonts w:ascii="Times New Roman" w:eastAsia="Times New Roman" w:hAnsi="Times New Roman"/>
          <w:sz w:val="24"/>
        </w:rPr>
      </w:pPr>
    </w:p>
    <w:p w:rsidR="00000000" w:rsidRDefault="002E51C7">
      <w:pPr>
        <w:spacing w:line="218" w:lineRule="auto"/>
        <w:ind w:right="26"/>
        <w:jc w:val="both"/>
        <w:rPr>
          <w:sz w:val="22"/>
        </w:rPr>
      </w:pPr>
      <w:r>
        <w:rPr>
          <w:sz w:val="22"/>
        </w:rPr>
        <w:t xml:space="preserve">Where an employee is rated as </w:t>
      </w:r>
      <w:r>
        <w:rPr>
          <w:sz w:val="22"/>
        </w:rPr>
        <w:t>“Meets most expectations</w:t>
      </w:r>
      <w:r>
        <w:rPr>
          <w:sz w:val="22"/>
        </w:rPr>
        <w:t xml:space="preserve">” or </w:t>
      </w:r>
      <w:r>
        <w:rPr>
          <w:sz w:val="22"/>
        </w:rPr>
        <w:t>“Expectations not achieved</w:t>
      </w:r>
      <w:r>
        <w:rPr>
          <w:sz w:val="22"/>
        </w:rPr>
        <w:t>” Payment of an increment will be deferred until such time as th</w:t>
      </w:r>
      <w:r>
        <w:rPr>
          <w:sz w:val="22"/>
        </w:rPr>
        <w:t xml:space="preserve">e employee is rated as </w:t>
      </w:r>
      <w:r>
        <w:rPr>
          <w:sz w:val="22"/>
        </w:rPr>
        <w:t>“Meets all expectations</w:t>
      </w:r>
      <w:r>
        <w:rPr>
          <w:sz w:val="22"/>
        </w:rPr>
        <w:t>”</w:t>
      </w:r>
    </w:p>
    <w:p w:rsidR="00000000" w:rsidRDefault="002E51C7">
      <w:pPr>
        <w:spacing w:line="267" w:lineRule="exact"/>
        <w:rPr>
          <w:rFonts w:ascii="Times New Roman" w:eastAsia="Times New Roman" w:hAnsi="Times New Roman"/>
          <w:sz w:val="24"/>
        </w:rPr>
      </w:pPr>
    </w:p>
    <w:p w:rsidR="00000000" w:rsidRDefault="002E51C7">
      <w:pPr>
        <w:spacing w:line="0" w:lineRule="atLeast"/>
        <w:rPr>
          <w:b/>
          <w:sz w:val="22"/>
        </w:rPr>
      </w:pPr>
      <w:r>
        <w:rPr>
          <w:b/>
          <w:sz w:val="22"/>
        </w:rPr>
        <w:t>Accelerated Increments</w:t>
      </w:r>
    </w:p>
    <w:p w:rsidR="00000000" w:rsidRDefault="002E51C7">
      <w:pPr>
        <w:spacing w:line="49" w:lineRule="exact"/>
        <w:rPr>
          <w:rFonts w:ascii="Times New Roman" w:eastAsia="Times New Roman" w:hAnsi="Times New Roman"/>
          <w:sz w:val="24"/>
        </w:rPr>
      </w:pPr>
    </w:p>
    <w:p w:rsidR="00000000" w:rsidRDefault="002E51C7">
      <w:pPr>
        <w:spacing w:line="225" w:lineRule="auto"/>
        <w:ind w:right="186"/>
        <w:rPr>
          <w:sz w:val="22"/>
        </w:rPr>
      </w:pPr>
      <w:r>
        <w:rPr>
          <w:sz w:val="22"/>
        </w:rPr>
        <w:t>A supervisor may recommend</w:t>
      </w:r>
      <w:r>
        <w:rPr>
          <w:sz w:val="22"/>
        </w:rPr>
        <w:t xml:space="preserve"> to the President/Editor in Chief that the employee receives an accelerated increment (Move the employee to a higher increment level than they would otherwise move to) if:</w:t>
      </w:r>
    </w:p>
    <w:p w:rsidR="00000000" w:rsidRDefault="002E51C7">
      <w:pPr>
        <w:spacing w:line="52" w:lineRule="exact"/>
        <w:rPr>
          <w:rFonts w:ascii="Times New Roman" w:eastAsia="Times New Roman" w:hAnsi="Times New Roman"/>
          <w:sz w:val="24"/>
        </w:rPr>
      </w:pPr>
    </w:p>
    <w:p w:rsidR="00000000" w:rsidRDefault="002E51C7">
      <w:pPr>
        <w:numPr>
          <w:ilvl w:val="0"/>
          <w:numId w:val="2"/>
        </w:numPr>
        <w:tabs>
          <w:tab w:val="left" w:pos="881"/>
        </w:tabs>
        <w:spacing w:line="225" w:lineRule="auto"/>
        <w:ind w:left="720" w:right="6"/>
        <w:rPr>
          <w:sz w:val="22"/>
        </w:rPr>
      </w:pPr>
      <w:r>
        <w:rPr>
          <w:sz w:val="22"/>
        </w:rPr>
        <w:t>Following a performance review against their Statement of Expectations agreement, t</w:t>
      </w:r>
      <w:r>
        <w:rPr>
          <w:sz w:val="22"/>
        </w:rPr>
        <w:t>he employee has received a rating of ""Outstanding" to recognise exceptional development and performance beyond normal expectations; or</w:t>
      </w:r>
    </w:p>
    <w:p w:rsidR="00000000" w:rsidRDefault="002E51C7">
      <w:pPr>
        <w:tabs>
          <w:tab w:val="left" w:pos="881"/>
        </w:tabs>
        <w:spacing w:line="225" w:lineRule="auto"/>
        <w:ind w:left="720" w:right="6"/>
        <w:rPr>
          <w:sz w:val="22"/>
        </w:rPr>
        <w:sectPr w:rsidR="00000000">
          <w:pgSz w:w="11900" w:h="16838"/>
          <w:pgMar w:top="1440" w:right="1440" w:bottom="1440" w:left="1440" w:header="0" w:footer="0" w:gutter="0"/>
          <w:cols w:space="0" w:equalWidth="0">
            <w:col w:w="9026"/>
          </w:cols>
          <w:docGrid w:linePitch="360"/>
        </w:sectPr>
      </w:pPr>
    </w:p>
    <w:p w:rsidR="00000000" w:rsidRDefault="002E51C7">
      <w:pPr>
        <w:spacing w:line="299" w:lineRule="exact"/>
        <w:rPr>
          <w:rFonts w:ascii="Times New Roman" w:eastAsia="Times New Roman" w:hAnsi="Times New Roman"/>
        </w:rPr>
      </w:pPr>
      <w:bookmarkStart w:id="1" w:name="page2"/>
      <w:bookmarkEnd w:id="1"/>
      <w:r>
        <w:rPr>
          <w:noProof/>
          <w:sz w:val="22"/>
        </w:rPr>
        <w:lastRenderedPageBreak/>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0860"/>
                <wp:effectExtent l="0" t="0" r="254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DB23" id="Rectangle 3" o:spid="_x0000_s1026" style="position:absolute;margin-left:0;margin-top:0;width:595.3pt;height:84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" fillcolor="#d8d8d8" strokecolor="white">
                <w10:wrap anchorx="page" anchory="page"/>
              </v:rect>
            </w:pict>
          </mc:Fallback>
        </mc:AlternateContent>
      </w:r>
    </w:p>
    <w:p w:rsidR="00000000" w:rsidRDefault="002E51C7">
      <w:pPr>
        <w:numPr>
          <w:ilvl w:val="0"/>
          <w:numId w:val="3"/>
        </w:numPr>
        <w:tabs>
          <w:tab w:val="left" w:pos="881"/>
        </w:tabs>
        <w:spacing w:line="239" w:lineRule="auto"/>
        <w:ind w:left="720" w:right="246"/>
        <w:rPr>
          <w:sz w:val="21"/>
        </w:rPr>
      </w:pPr>
      <w:r>
        <w:rPr>
          <w:sz w:val="21"/>
        </w:rPr>
        <w:t>As an alterna</w:t>
      </w:r>
      <w:r>
        <w:rPr>
          <w:sz w:val="21"/>
        </w:rPr>
        <w:t>tive to awarding a Market Loading if:</w:t>
      </w:r>
      <w:r>
        <w:rPr>
          <w:rFonts w:ascii="Courier New" w:eastAsia="Courier New" w:hAnsi="Courier New"/>
          <w:sz w:val="21"/>
        </w:rPr>
        <w:t xml:space="preserve"> </w:t>
      </w:r>
      <w:r>
        <w:rPr>
          <w:rFonts w:ascii="Courier New" w:eastAsia="Courier New" w:hAnsi="Courier New"/>
          <w:sz w:val="21"/>
        </w:rPr>
        <w:t>o</w:t>
      </w:r>
      <w:r>
        <w:rPr>
          <w:sz w:val="21"/>
        </w:rPr>
        <w:t xml:space="preserve"> </w:t>
      </w:r>
      <w:r>
        <w:rPr>
          <w:sz w:val="21"/>
        </w:rPr>
        <w:t>There is evidence of higher salaries</w:t>
      </w:r>
      <w:r>
        <w:rPr>
          <w:sz w:val="21"/>
        </w:rPr>
        <w:t xml:space="preserve"> being paid externally for t</w:t>
      </w:r>
      <w:r>
        <w:rPr>
          <w:sz w:val="21"/>
        </w:rPr>
        <w:t>he particular occupational group or position and it is therefore likely that the Association would have difficulty in filling a position if it became vacant; or</w:t>
      </w:r>
    </w:p>
    <w:p w:rsidR="00000000" w:rsidRDefault="002E51C7">
      <w:pPr>
        <w:spacing w:line="41" w:lineRule="exact"/>
        <w:rPr>
          <w:sz w:val="21"/>
        </w:rPr>
      </w:pPr>
    </w:p>
    <w:p w:rsidR="00000000" w:rsidRDefault="002E51C7">
      <w:pPr>
        <w:spacing w:line="222" w:lineRule="auto"/>
        <w:ind w:left="1440" w:right="546"/>
        <w:rPr>
          <w:sz w:val="22"/>
        </w:rPr>
      </w:pPr>
      <w:r>
        <w:rPr>
          <w:rFonts w:ascii="Courier New" w:eastAsia="Courier New" w:hAnsi="Courier New"/>
          <w:sz w:val="22"/>
        </w:rPr>
        <w:t>o</w:t>
      </w:r>
      <w:r>
        <w:rPr>
          <w:sz w:val="22"/>
        </w:rPr>
        <w:t xml:space="preserve"> </w:t>
      </w:r>
      <w:r>
        <w:rPr>
          <w:sz w:val="22"/>
        </w:rPr>
        <w:t>There is high turnover of staff and where higher external salaries have been</w:t>
      </w:r>
      <w:r>
        <w:rPr>
          <w:sz w:val="22"/>
        </w:rPr>
        <w:t xml:space="preserve"> documented as b</w:t>
      </w:r>
      <w:r>
        <w:rPr>
          <w:sz w:val="22"/>
        </w:rPr>
        <w:t>eing a significant contributing factor.</w:t>
      </w:r>
    </w:p>
    <w:p w:rsidR="00000000" w:rsidRDefault="002E51C7">
      <w:pPr>
        <w:spacing w:line="1" w:lineRule="exact"/>
        <w:rPr>
          <w:sz w:val="21"/>
        </w:rPr>
      </w:pPr>
    </w:p>
    <w:p w:rsidR="00000000" w:rsidRDefault="002E51C7">
      <w:pPr>
        <w:spacing w:line="0" w:lineRule="atLeast"/>
        <w:ind w:left="1440"/>
        <w:rPr>
          <w:sz w:val="22"/>
        </w:rPr>
      </w:pPr>
      <w:r>
        <w:rPr>
          <w:rFonts w:ascii="Courier New" w:eastAsia="Courier New" w:hAnsi="Courier New"/>
          <w:sz w:val="22"/>
        </w:rPr>
        <w:t>o</w:t>
      </w:r>
      <w:r>
        <w:rPr>
          <w:sz w:val="22"/>
        </w:rPr>
        <w:t xml:space="preserve"> </w:t>
      </w:r>
      <w:r>
        <w:rPr>
          <w:sz w:val="22"/>
        </w:rPr>
        <w:t>The employee is not at the top of the salary range.</w:t>
      </w:r>
    </w:p>
    <w:p w:rsidR="00000000" w:rsidRDefault="002E51C7">
      <w:pPr>
        <w:spacing w:line="200" w:lineRule="exact"/>
        <w:rPr>
          <w:rFonts w:ascii="Times New Roman" w:eastAsia="Times New Roman" w:hAnsi="Times New Roman"/>
        </w:rPr>
      </w:pPr>
    </w:p>
    <w:p w:rsidR="00000000" w:rsidRDefault="002E51C7">
      <w:pPr>
        <w:spacing w:line="338" w:lineRule="exact"/>
        <w:rPr>
          <w:rFonts w:ascii="Times New Roman" w:eastAsia="Times New Roman" w:hAnsi="Times New Roman"/>
        </w:rPr>
      </w:pPr>
    </w:p>
    <w:p w:rsidR="00000000" w:rsidRDefault="002E51C7">
      <w:pPr>
        <w:spacing w:line="0" w:lineRule="atLeast"/>
        <w:rPr>
          <w:b/>
          <w:sz w:val="22"/>
        </w:rPr>
      </w:pPr>
      <w:r>
        <w:rPr>
          <w:b/>
          <w:sz w:val="22"/>
        </w:rPr>
        <w:t>Appointment of new employees at an increment above the base</w:t>
      </w:r>
    </w:p>
    <w:p w:rsidR="00000000" w:rsidRDefault="002E51C7">
      <w:pPr>
        <w:spacing w:line="49" w:lineRule="exact"/>
        <w:rPr>
          <w:rFonts w:ascii="Times New Roman" w:eastAsia="Times New Roman" w:hAnsi="Times New Roman"/>
        </w:rPr>
      </w:pPr>
    </w:p>
    <w:p w:rsidR="00000000" w:rsidRDefault="002E51C7">
      <w:pPr>
        <w:spacing w:line="236" w:lineRule="auto"/>
        <w:ind w:right="26"/>
        <w:rPr>
          <w:sz w:val="21"/>
        </w:rPr>
      </w:pPr>
      <w:r>
        <w:rPr>
          <w:sz w:val="21"/>
        </w:rPr>
        <w:t xml:space="preserve">Normally new employees are appointed at the base increment for the relevant classification level. </w:t>
      </w:r>
      <w:r>
        <w:rPr>
          <w:sz w:val="21"/>
        </w:rPr>
        <w:t>However, the Chair of an Appointments Committee may recommend to the President/Editor in Chief that the employee be appointed above the base (as an alternative to offering a market loading,) if:</w:t>
      </w:r>
    </w:p>
    <w:p w:rsidR="00000000" w:rsidRDefault="002E51C7">
      <w:pPr>
        <w:spacing w:line="48" w:lineRule="exact"/>
        <w:rPr>
          <w:rFonts w:ascii="Times New Roman" w:eastAsia="Times New Roman" w:hAnsi="Times New Roman"/>
        </w:rPr>
      </w:pPr>
    </w:p>
    <w:p w:rsidR="00000000" w:rsidRDefault="002E51C7">
      <w:pPr>
        <w:numPr>
          <w:ilvl w:val="0"/>
          <w:numId w:val="4"/>
        </w:numPr>
        <w:tabs>
          <w:tab w:val="left" w:pos="881"/>
        </w:tabs>
        <w:spacing w:line="225" w:lineRule="auto"/>
        <w:ind w:left="720" w:right="86"/>
        <w:rPr>
          <w:sz w:val="22"/>
        </w:rPr>
      </w:pPr>
      <w:r>
        <w:rPr>
          <w:sz w:val="22"/>
        </w:rPr>
        <w:t>There are demonstrated difficulties in attracting and retain</w:t>
      </w:r>
      <w:r>
        <w:rPr>
          <w:sz w:val="22"/>
        </w:rPr>
        <w:t>ing appropriately qualified or experienced employees to particular positions and there is evidence of higher salaries being paid externally for the particular occupational group or position; or</w:t>
      </w:r>
    </w:p>
    <w:p w:rsidR="00000000" w:rsidRDefault="002E51C7">
      <w:pPr>
        <w:spacing w:line="51" w:lineRule="exact"/>
        <w:rPr>
          <w:sz w:val="22"/>
        </w:rPr>
      </w:pPr>
    </w:p>
    <w:p w:rsidR="00000000" w:rsidRDefault="002E51C7">
      <w:pPr>
        <w:numPr>
          <w:ilvl w:val="0"/>
          <w:numId w:val="4"/>
        </w:numPr>
        <w:tabs>
          <w:tab w:val="left" w:pos="881"/>
        </w:tabs>
        <w:spacing w:line="225" w:lineRule="auto"/>
        <w:ind w:left="720" w:right="486"/>
        <w:rPr>
          <w:sz w:val="22"/>
        </w:rPr>
      </w:pPr>
      <w:r>
        <w:rPr>
          <w:sz w:val="22"/>
        </w:rPr>
        <w:t>The recommended employee has demonstrated they have already a</w:t>
      </w:r>
      <w:r>
        <w:rPr>
          <w:sz w:val="22"/>
        </w:rPr>
        <w:t>cquired the skills, experience and knowledge commensurate with those of other employees at higher increments within the classification level; or</w:t>
      </w:r>
    </w:p>
    <w:p w:rsidR="00000000" w:rsidRDefault="002E51C7">
      <w:pPr>
        <w:spacing w:line="51" w:lineRule="exact"/>
        <w:rPr>
          <w:sz w:val="22"/>
        </w:rPr>
      </w:pPr>
    </w:p>
    <w:p w:rsidR="00000000" w:rsidRDefault="002E51C7">
      <w:pPr>
        <w:numPr>
          <w:ilvl w:val="0"/>
          <w:numId w:val="4"/>
        </w:numPr>
        <w:tabs>
          <w:tab w:val="left" w:pos="881"/>
        </w:tabs>
        <w:spacing w:line="218" w:lineRule="auto"/>
        <w:ind w:left="720" w:right="806"/>
        <w:rPr>
          <w:sz w:val="22"/>
        </w:rPr>
      </w:pPr>
      <w:r>
        <w:rPr>
          <w:sz w:val="22"/>
        </w:rPr>
        <w:t>There is high turnover of employees and where higher external salaries have been documented as being a signifi</w:t>
      </w:r>
      <w:r>
        <w:rPr>
          <w:sz w:val="22"/>
        </w:rPr>
        <w:t>cant contributing factor.</w:t>
      </w:r>
    </w:p>
    <w:p w:rsidR="00000000" w:rsidRDefault="002E51C7">
      <w:pPr>
        <w:spacing w:line="267" w:lineRule="exact"/>
        <w:rPr>
          <w:rFonts w:ascii="Times New Roman" w:eastAsia="Times New Roman" w:hAnsi="Times New Roman"/>
        </w:rPr>
      </w:pPr>
    </w:p>
    <w:p w:rsidR="00000000" w:rsidRDefault="002E51C7">
      <w:pPr>
        <w:spacing w:line="0" w:lineRule="atLeast"/>
        <w:rPr>
          <w:b/>
          <w:sz w:val="22"/>
        </w:rPr>
      </w:pPr>
      <w:r>
        <w:rPr>
          <w:b/>
          <w:sz w:val="22"/>
        </w:rPr>
        <w:t>Casual Employees</w:t>
      </w:r>
    </w:p>
    <w:p w:rsidR="00000000" w:rsidRDefault="002E51C7">
      <w:pPr>
        <w:spacing w:line="0" w:lineRule="atLeast"/>
        <w:rPr>
          <w:sz w:val="22"/>
        </w:rPr>
      </w:pPr>
      <w:r>
        <w:rPr>
          <w:sz w:val="22"/>
        </w:rPr>
        <w:t>Casual employees are not entitled to incremental progression.</w:t>
      </w:r>
    </w:p>
    <w:p w:rsidR="00000000" w:rsidRDefault="002E51C7">
      <w:pPr>
        <w:spacing w:line="269" w:lineRule="exact"/>
        <w:rPr>
          <w:rFonts w:ascii="Times New Roman" w:eastAsia="Times New Roman" w:hAnsi="Times New Roman"/>
        </w:rPr>
      </w:pPr>
    </w:p>
    <w:p w:rsidR="00000000" w:rsidRDefault="002E51C7">
      <w:pPr>
        <w:spacing w:line="0" w:lineRule="atLeast"/>
        <w:rPr>
          <w:b/>
          <w:sz w:val="22"/>
        </w:rPr>
      </w:pPr>
      <w:r>
        <w:rPr>
          <w:b/>
          <w:sz w:val="22"/>
        </w:rPr>
        <w:t>Approvals</w:t>
      </w:r>
    </w:p>
    <w:p w:rsidR="00000000" w:rsidRDefault="002E51C7">
      <w:pPr>
        <w:spacing w:line="0" w:lineRule="atLeast"/>
        <w:rPr>
          <w:sz w:val="22"/>
        </w:rPr>
      </w:pPr>
      <w:r>
        <w:rPr>
          <w:sz w:val="22"/>
        </w:rPr>
        <w:t>Payment of increments must be authorised by the President/Editor in Chief.</w:t>
      </w:r>
    </w:p>
    <w:p w:rsidR="00000000" w:rsidRDefault="002E51C7">
      <w:pPr>
        <w:spacing w:line="271" w:lineRule="exact"/>
        <w:rPr>
          <w:rFonts w:ascii="Times New Roman" w:eastAsia="Times New Roman" w:hAnsi="Times New Roman"/>
        </w:rPr>
      </w:pPr>
    </w:p>
    <w:p w:rsidR="00000000" w:rsidRDefault="002E51C7">
      <w:pPr>
        <w:tabs>
          <w:tab w:val="left" w:pos="1420"/>
          <w:tab w:val="left" w:pos="3580"/>
        </w:tabs>
        <w:spacing w:line="0" w:lineRule="atLeast"/>
        <w:rPr>
          <w:sz w:val="21"/>
        </w:rPr>
      </w:pPr>
      <w:r>
        <w:rPr>
          <w:b/>
          <w:sz w:val="22"/>
        </w:rPr>
        <w:t>Reference:</w:t>
      </w:r>
      <w:r>
        <w:rPr>
          <w:rFonts w:ascii="Times New Roman" w:eastAsia="Times New Roman" w:hAnsi="Times New Roman"/>
        </w:rPr>
        <w:tab/>
      </w:r>
      <w:r>
        <w:rPr>
          <w:sz w:val="22"/>
        </w:rPr>
        <w:t>Enterprise Agreement</w:t>
      </w:r>
      <w:r>
        <w:rPr>
          <w:rFonts w:ascii="Times New Roman" w:eastAsia="Times New Roman" w:hAnsi="Times New Roman"/>
        </w:rPr>
        <w:tab/>
      </w:r>
      <w:r>
        <w:rPr>
          <w:sz w:val="21"/>
        </w:rPr>
        <w:t>Clause 12.3</w:t>
      </w:r>
    </w:p>
    <w:p w:rsidR="00000000" w:rsidRDefault="002E51C7">
      <w:pPr>
        <w:spacing w:line="178" w:lineRule="exact"/>
        <w:rPr>
          <w:rFonts w:ascii="Times New Roman" w:eastAsia="Times New Roman" w:hAnsi="Times New Roman"/>
        </w:rPr>
      </w:pPr>
    </w:p>
    <w:p w:rsidR="00000000" w:rsidRDefault="002E51C7">
      <w:pPr>
        <w:spacing w:line="0" w:lineRule="atLeast"/>
        <w:rPr>
          <w:b/>
          <w:sz w:val="22"/>
        </w:rPr>
      </w:pPr>
      <w:r>
        <w:rPr>
          <w:b/>
          <w:sz w:val="22"/>
        </w:rPr>
        <w:t>Other</w:t>
      </w:r>
    </w:p>
    <w:p w:rsidR="00000000" w:rsidRDefault="002E51C7">
      <w:pPr>
        <w:spacing w:line="227" w:lineRule="exact"/>
        <w:rPr>
          <w:rFonts w:ascii="Times New Roman" w:eastAsia="Times New Roman" w:hAnsi="Times New Roman"/>
        </w:rPr>
      </w:pPr>
    </w:p>
    <w:p w:rsidR="00000000" w:rsidRDefault="002E51C7">
      <w:pPr>
        <w:spacing w:line="225" w:lineRule="auto"/>
        <w:ind w:right="6"/>
        <w:rPr>
          <w:sz w:val="22"/>
        </w:rPr>
      </w:pPr>
      <w:r>
        <w:rPr>
          <w:sz w:val="22"/>
        </w:rPr>
        <w:t>In the case</w:t>
      </w:r>
      <w:r>
        <w:rPr>
          <w:sz w:val="22"/>
        </w:rPr>
        <w:t xml:space="preserve"> of any inconsistency between this policy and the Enterprise Agreement, the Enterprise Agreement shall prevail.</w:t>
      </w:r>
    </w:p>
    <w:p w:rsidR="002E51C7" w:rsidRDefault="002E51C7">
      <w:pPr>
        <w:spacing w:line="225" w:lineRule="auto"/>
        <w:ind w:right="6"/>
        <w:rPr>
          <w:sz w:val="22"/>
        </w:rPr>
      </w:pPr>
    </w:p>
    <w:p w:rsidR="002E51C7" w:rsidRDefault="002E51C7" w:rsidP="002E51C7">
      <w:pPr>
        <w:spacing w:line="228" w:lineRule="auto"/>
        <w:ind w:right="126"/>
        <w:rPr>
          <w:sz w:val="22"/>
        </w:rPr>
      </w:pPr>
      <w:r>
        <w:rPr>
          <w:sz w:val="22"/>
        </w:rPr>
        <w:t xml:space="preserve">Review date: on or before 12/2024 </w:t>
      </w:r>
    </w:p>
    <w:p w:rsidR="002E51C7" w:rsidRDefault="002E51C7">
      <w:pPr>
        <w:spacing w:line="225" w:lineRule="auto"/>
        <w:ind w:right="6"/>
        <w:rPr>
          <w:sz w:val="22"/>
        </w:rPr>
      </w:pPr>
      <w:bookmarkStart w:id="2" w:name="_GoBack"/>
      <w:bookmarkEnd w:id="2"/>
    </w:p>
    <w:sectPr w:rsidR="002E51C7">
      <w:pgSz w:w="11900" w:h="16838"/>
      <w:pgMar w:top="1440" w:right="1440" w:bottom="1440" w:left="1440" w:header="0" w:footer="0" w:gutter="0"/>
      <w:cols w:space="0" w:equalWidth="0">
        <w:col w:w="90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9495CF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AE894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25558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C7"/>
    <w:rsid w:val="002E51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D6265B"/>
  <w15:chartTrackingRefBased/>
  <w15:docId w15:val="{2FF4CDB1-58D9-49AE-8FB2-490666EF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2023-09-13T02:29:00Z</dcterms:created>
  <dcterms:modified xsi:type="dcterms:W3CDTF">2023-09-13T02:29:00Z</dcterms:modified>
</cp:coreProperties>
</file>