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0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392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0" w:lineRule="atLeast"/>
        <w:ind w:right="20"/>
        <w:jc w:val="center"/>
        <w:rPr>
          <w:b/>
          <w:i/>
          <w:sz w:val="28"/>
        </w:rPr>
      </w:pPr>
      <w:r>
        <w:rPr>
          <w:b/>
          <w:i/>
          <w:sz w:val="28"/>
        </w:rPr>
        <w:t>Compensation for loss or damage to personal property</w:t>
      </w: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Overview</w:t>
      </w:r>
    </w:p>
    <w:p w:rsidR="00000000" w:rsidRDefault="002E680E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18" w:lineRule="auto"/>
        <w:ind w:right="20"/>
        <w:jc w:val="both"/>
        <w:rPr>
          <w:sz w:val="22"/>
        </w:rPr>
      </w:pPr>
      <w:r>
        <w:rPr>
          <w:sz w:val="22"/>
        </w:rPr>
        <w:t>This document outlines the procedures to be followed in compensating an employee for the loss or damage to their personal property.</w:t>
      </w:r>
    </w:p>
    <w:p w:rsidR="00000000" w:rsidRDefault="002E680E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Scope</w:t>
      </w:r>
    </w:p>
    <w:p w:rsidR="00000000" w:rsidRDefault="002E680E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0" w:lineRule="atLeast"/>
        <w:rPr>
          <w:sz w:val="22"/>
        </w:rPr>
      </w:pPr>
      <w:r>
        <w:rPr>
          <w:sz w:val="22"/>
        </w:rPr>
        <w:t>This Policy applies across all student A</w:t>
      </w:r>
      <w:r>
        <w:rPr>
          <w:sz w:val="22"/>
        </w:rPr>
        <w:t>ssociations.</w:t>
      </w:r>
    </w:p>
    <w:p w:rsidR="00000000" w:rsidRDefault="002E680E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0" w:lineRule="atLeast"/>
        <w:rPr>
          <w:sz w:val="22"/>
        </w:rPr>
      </w:pPr>
      <w:r>
        <w:rPr>
          <w:b/>
          <w:sz w:val="22"/>
        </w:rPr>
        <w:t>“Associations</w:t>
      </w:r>
      <w:r>
        <w:rPr>
          <w:b/>
          <w:sz w:val="22"/>
        </w:rPr>
        <w:t>” refers</w:t>
      </w:r>
      <w:r>
        <w:rPr>
          <w:sz w:val="22"/>
        </w:rPr>
        <w:t xml:space="preserve"> </w:t>
      </w:r>
      <w:r>
        <w:rPr>
          <w:sz w:val="22"/>
        </w:rPr>
        <w:t>to ANUSA, PARSA &amp; ANUSM.</w:t>
      </w:r>
    </w:p>
    <w:p w:rsidR="00000000" w:rsidRDefault="002E680E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Policy Statement</w:t>
      </w:r>
    </w:p>
    <w:p w:rsidR="00000000" w:rsidRDefault="002E680E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55" w:lineRule="auto"/>
        <w:ind w:right="20"/>
        <w:jc w:val="both"/>
        <w:rPr>
          <w:sz w:val="22"/>
        </w:rPr>
      </w:pPr>
      <w:r>
        <w:rPr>
          <w:sz w:val="22"/>
        </w:rPr>
        <w:t>The Association may authorise reimbursement of an amount considered reasonable to cover the loss or damage to an employee</w:t>
      </w:r>
      <w:r>
        <w:rPr>
          <w:sz w:val="22"/>
        </w:rPr>
        <w:t>’s personal effects which resulted from the performance</w:t>
      </w:r>
      <w:r>
        <w:rPr>
          <w:sz w:val="22"/>
        </w:rPr>
        <w:t xml:space="preserve"> of their duties subject to a minimum value of $20.</w:t>
      </w:r>
    </w:p>
    <w:p w:rsidR="00000000" w:rsidRDefault="002E680E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36" w:lineRule="auto"/>
        <w:ind w:right="20"/>
        <w:jc w:val="both"/>
        <w:rPr>
          <w:sz w:val="22"/>
        </w:rPr>
      </w:pPr>
      <w:r>
        <w:rPr>
          <w:sz w:val="22"/>
        </w:rPr>
        <w:t>Notwithstanding the procedures detailed below, the Association may authorise an alternate process for managing this employment condition to suit individual circumstances.</w:t>
      </w:r>
    </w:p>
    <w:p w:rsidR="00000000" w:rsidRDefault="002E680E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0" w:lineRule="atLeast"/>
        <w:rPr>
          <w:b/>
          <w:sz w:val="22"/>
        </w:rPr>
      </w:pPr>
      <w:r>
        <w:rPr>
          <w:b/>
          <w:sz w:val="22"/>
        </w:rPr>
        <w:t>Consideration of applications f</w:t>
      </w:r>
      <w:r>
        <w:rPr>
          <w:b/>
          <w:sz w:val="22"/>
        </w:rPr>
        <w:t>or compensation</w:t>
      </w:r>
    </w:p>
    <w:p w:rsidR="00000000" w:rsidRDefault="002E680E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62" w:lineRule="auto"/>
        <w:jc w:val="both"/>
        <w:rPr>
          <w:sz w:val="22"/>
        </w:rPr>
      </w:pPr>
      <w:r>
        <w:rPr>
          <w:sz w:val="22"/>
        </w:rPr>
        <w:t xml:space="preserve">Applications for compensation for property loss or damage will be considered on a case-by-case basis and any ensuing payments will be made on an ex-gratia basis. The Association may take into account the age and serviceability of the item </w:t>
      </w:r>
      <w:r>
        <w:rPr>
          <w:sz w:val="22"/>
        </w:rPr>
        <w:t>when determining the amount of compensation payable.</w:t>
      </w:r>
    </w:p>
    <w:p w:rsidR="00000000" w:rsidRDefault="002E680E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62" w:lineRule="auto"/>
        <w:jc w:val="both"/>
        <w:rPr>
          <w:sz w:val="22"/>
        </w:rPr>
      </w:pPr>
      <w:r>
        <w:rPr>
          <w:sz w:val="22"/>
        </w:rPr>
        <w:t>Where the loss or damage is caused by a defect in the Association</w:t>
      </w:r>
      <w:r>
        <w:rPr>
          <w:sz w:val="22"/>
        </w:rPr>
        <w:t>’s material or equipment, or is</w:t>
      </w:r>
      <w:r>
        <w:rPr>
          <w:sz w:val="22"/>
        </w:rPr>
        <w:t xml:space="preserve"> suffered by the employee in protecting the Association</w:t>
      </w:r>
      <w:r>
        <w:rPr>
          <w:sz w:val="22"/>
        </w:rPr>
        <w:t>’s property from loss or damage, the</w:t>
      </w:r>
      <w:r>
        <w:rPr>
          <w:sz w:val="22"/>
        </w:rPr>
        <w:t xml:space="preserve"> Office Manager</w:t>
      </w:r>
      <w:r>
        <w:rPr>
          <w:sz w:val="22"/>
        </w:rPr>
        <w:t xml:space="preserve"> of the area where the damage occurred will consider whether compensation is payable and recommend an appropriate level of compensation.</w:t>
      </w:r>
    </w:p>
    <w:p w:rsidR="00000000" w:rsidRDefault="002E680E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55" w:lineRule="auto"/>
        <w:jc w:val="both"/>
        <w:rPr>
          <w:sz w:val="22"/>
        </w:rPr>
      </w:pPr>
      <w:r>
        <w:rPr>
          <w:sz w:val="22"/>
        </w:rPr>
        <w:t>The President/Editor in Chief will determine whether compensation is payable and determine the appropriate level of co</w:t>
      </w:r>
      <w:r>
        <w:rPr>
          <w:sz w:val="22"/>
        </w:rPr>
        <w:t>mpensation for the damage or loss and advise the employee of the amount and payment arrangements.</w:t>
      </w: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82B86" w:rsidRPr="00882B86" w:rsidRDefault="00882B86" w:rsidP="00882B86">
      <w:pPr>
        <w:rPr>
          <w:sz w:val="22"/>
        </w:rPr>
      </w:pPr>
      <w:r w:rsidRPr="00882B86">
        <w:rPr>
          <w:sz w:val="22"/>
        </w:rPr>
        <w:t xml:space="preserve">Review date: on or before 12/2024 </w:t>
      </w:r>
    </w:p>
    <w:p w:rsidR="00000000" w:rsidRDefault="002E680E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000000" w:rsidRDefault="002E680E">
      <w:pPr>
        <w:tabs>
          <w:tab w:val="left" w:pos="8160"/>
        </w:tabs>
        <w:spacing w:line="0" w:lineRule="atLeast"/>
        <w:rPr>
          <w:sz w:val="21"/>
        </w:rPr>
      </w:pPr>
      <w:r>
        <w:rPr>
          <w:sz w:val="22"/>
        </w:rPr>
        <w:t>Release Date: 1 July 2015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Version 1</w:t>
      </w:r>
    </w:p>
    <w:sectPr w:rsidR="00000000">
      <w:pgSz w:w="11900" w:h="16838"/>
      <w:pgMar w:top="1440" w:right="1426" w:bottom="419" w:left="1440" w:header="0" w:footer="0" w:gutter="0"/>
      <w:cols w:space="0" w:equalWidth="0">
        <w:col w:w="9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6"/>
    <w:rsid w:val="002E680E"/>
    <w:rsid w:val="0088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ABBD1E-9A61-4CCF-BE29-54240E4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Yan Low</dc:creator>
  <cp:keywords/>
  <cp:lastModifiedBy>Bi Yan Low</cp:lastModifiedBy>
  <cp:revision>2</cp:revision>
  <dcterms:created xsi:type="dcterms:W3CDTF">2023-09-13T02:22:00Z</dcterms:created>
  <dcterms:modified xsi:type="dcterms:W3CDTF">2023-09-13T02:22:00Z</dcterms:modified>
</cp:coreProperties>
</file>